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ind w:left="72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Pr>
        <w:drawing>
          <wp:anchor allowOverlap="1" behindDoc="0" distB="0" distT="0" distL="114300" distR="114300" hidden="0" layoutInCell="1" locked="0" relativeHeight="0" simplePos="0">
            <wp:simplePos x="0" y="0"/>
            <wp:positionH relativeFrom="margin">
              <wp:posOffset>5413538</wp:posOffset>
            </wp:positionH>
            <wp:positionV relativeFrom="margin">
              <wp:posOffset>-228598</wp:posOffset>
            </wp:positionV>
            <wp:extent cx="995680" cy="871855"/>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995680" cy="871855"/>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-209548</wp:posOffset>
            </wp:positionH>
            <wp:positionV relativeFrom="paragraph">
              <wp:posOffset>0</wp:posOffset>
            </wp:positionV>
            <wp:extent cx="4295775" cy="64833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95775" cy="64833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ind w:left="7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ind w:left="7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7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ind w:left="7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left="7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160" w:line="259"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CENTRE FOR TEACHING AND LEARNING</w:t>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sz w:val="24"/>
          <w:szCs w:val="24"/>
        </w:rPr>
      </w:pPr>
      <w:r w:rsidDel="00000000" w:rsidR="00000000" w:rsidRPr="00000000">
        <w:rPr>
          <w:rtl w:val="0"/>
        </w:rPr>
      </w:r>
    </w:p>
    <w:tbl>
      <w:tblPr>
        <w:tblStyle w:val="Table1"/>
        <w:tblW w:w="98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8"/>
        <w:gridCol w:w="7092"/>
        <w:tblGridChange w:id="0">
          <w:tblGrid>
            <w:gridCol w:w="2718"/>
            <w:gridCol w:w="7092"/>
          </w:tblGrid>
        </w:tblGridChange>
      </w:tblGrid>
      <w:tr>
        <w:trPr>
          <w:cantSplit w:val="0"/>
          <w:trHeight w:val="713"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 ON Fundamentals of online learning engagement</w:t>
            </w:r>
          </w:p>
        </w:tc>
      </w:tr>
      <w:tr>
        <w:trPr>
          <w:cantSplit w:val="0"/>
          <w:trHeight w:val="71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Fundamentals of online learning engagement</w:t>
            </w:r>
          </w:p>
        </w:tc>
      </w:tr>
      <w:tr>
        <w:trPr>
          <w:cantSplit w:val="0"/>
          <w:trHeight w:val="6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 and year: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25/01/2021</w:t>
            </w:r>
          </w:p>
        </w:tc>
      </w:tr>
      <w:tr>
        <w:trPr>
          <w:cantSplit w:val="0"/>
          <w:trHeight w:val="6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Webinar</w:t>
            </w:r>
          </w:p>
        </w:tc>
      </w:tr>
      <w:tr>
        <w:trPr>
          <w:cantSplit w:val="0"/>
          <w:trHeight w:val="6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Resource person/s: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RosemalizaMohd. Kamalludeen (Ph.D)</w:t>
            </w:r>
            <w:r w:rsidDel="00000000" w:rsidR="00000000" w:rsidRPr="00000000">
              <w:rPr>
                <w:rtl w:val="0"/>
              </w:rPr>
            </w:r>
          </w:p>
        </w:tc>
      </w:tr>
      <w:tr>
        <w:trPr>
          <w:cantSplit w:val="0"/>
          <w:trHeight w:val="6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Organising Committee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Center for Teaching Learning</w:t>
            </w:r>
          </w:p>
        </w:tc>
      </w:tr>
      <w:tr>
        <w:trPr>
          <w:cantSplit w:val="0"/>
          <w:trHeight w:val="6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 of Participants: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r>
      <w:tr>
        <w:trPr>
          <w:cantSplit w:val="0"/>
          <w:trHeight w:val="10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Fundamentals of Online learning Engagement</w:t>
            </w:r>
          </w:p>
          <w:p w:rsidR="00000000" w:rsidDel="00000000" w:rsidP="00000000" w:rsidRDefault="00000000" w:rsidRPr="00000000" w14:paraId="0000001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60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Summary of the proceedings: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Center for Teaching and Learning organised a webinar on “Fundamentals of Online learning engagement” for the faculty members. </w:t>
            </w:r>
            <w:r w:rsidDel="00000000" w:rsidR="00000000" w:rsidRPr="00000000">
              <w:rPr>
                <w:rFonts w:ascii="Times New Roman" w:cs="Times New Roman" w:eastAsia="Times New Roman" w:hAnsi="Times New Roman"/>
                <w:b w:val="1"/>
                <w:color w:val="500050"/>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Rosemaliza Mohd. Kamalludeen (Ph.D), Assistant Professor, Department of Instructional Technology, Kulliyyah of Education, IIUM, Malaysia. </w:t>
            </w:r>
            <w:r w:rsidDel="00000000" w:rsidR="00000000" w:rsidRPr="00000000">
              <w:rPr>
                <w:rFonts w:ascii="Times New Roman" w:cs="Times New Roman" w:eastAsia="Times New Roman" w:hAnsi="Times New Roman"/>
                <w:sz w:val="24"/>
                <w:szCs w:val="24"/>
                <w:rtl w:val="0"/>
              </w:rPr>
              <w:t xml:space="preserve">Session was attended by 22 Faculties. Resource Person gave a brief description about how to engage online teaching. Various teaching tools were briefly introduced. She also spoke about how online assessment can be carried out and gave ideas and tips for smooth functioning of online learning.</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1493"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9">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Photographs:</w:t>
            </w:r>
          </w:p>
          <w:p w:rsidR="00000000" w:rsidDel="00000000" w:rsidP="00000000" w:rsidRDefault="00000000" w:rsidRPr="00000000" w14:paraId="0000002A">
            <w:pPr>
              <w:spacing w:after="0" w:lineRule="auto"/>
              <w:rPr>
                <w:rFonts w:ascii="Times New Roman" w:cs="Times New Roman" w:eastAsia="Times New Roman" w:hAnsi="Times New Roman"/>
                <w:color w:val="000000"/>
                <w:sz w:val="24"/>
                <w:szCs w:val="24"/>
                <w:highlight w:val="black"/>
              </w:rPr>
            </w:pPr>
            <w:r w:rsidDel="00000000" w:rsidR="00000000" w:rsidRPr="00000000">
              <w:rPr>
                <w:rtl w:val="0"/>
              </w:rPr>
            </w:r>
          </w:p>
          <w:p w:rsidR="00000000" w:rsidDel="00000000" w:rsidP="00000000" w:rsidRDefault="00000000" w:rsidRPr="00000000" w14:paraId="0000002B">
            <w:pPr>
              <w:spacing w:after="0" w:lineRule="auto"/>
              <w:rPr>
                <w:rFonts w:ascii="Times New Roman" w:cs="Times New Roman" w:eastAsia="Times New Roman" w:hAnsi="Times New Roman"/>
                <w:color w:val="000000"/>
                <w:sz w:val="24"/>
                <w:szCs w:val="24"/>
                <w:highlight w:val="black"/>
              </w:rPr>
            </w:pPr>
            <w:r w:rsidDel="00000000" w:rsidR="00000000" w:rsidRPr="00000000">
              <w:rPr>
                <w:rtl w:val="0"/>
              </w:rPr>
            </w:r>
          </w:p>
          <w:p w:rsidR="00000000" w:rsidDel="00000000" w:rsidP="00000000" w:rsidRDefault="00000000" w:rsidRPr="00000000" w14:paraId="0000002C">
            <w:pPr>
              <w:spacing w:after="0" w:lineRule="auto"/>
              <w:rPr>
                <w:rFonts w:ascii="Times New Roman" w:cs="Times New Roman" w:eastAsia="Times New Roman" w:hAnsi="Times New Roman"/>
                <w:color w:val="000000"/>
                <w:sz w:val="24"/>
                <w:szCs w:val="24"/>
                <w:highlight w:val="black"/>
              </w:rPr>
            </w:pPr>
            <w:r w:rsidDel="00000000" w:rsidR="00000000" w:rsidRPr="00000000">
              <w:rPr>
                <w:rtl w:val="0"/>
              </w:rPr>
            </w:r>
          </w:p>
          <w:p w:rsidR="00000000" w:rsidDel="00000000" w:rsidP="00000000" w:rsidRDefault="00000000" w:rsidRPr="00000000" w14:paraId="0000002D">
            <w:pPr>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47"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 Prepared by: Ms. Diksha N. Prabhu Khorjuvenkar</w:t>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ind w:left="720" w:firstLine="0"/>
        <w:jc w:val="center"/>
        <w:rPr>
          <w:rFonts w:ascii="Times New Roman" w:cs="Times New Roman" w:eastAsia="Times New Roman" w:hAnsi="Times New Roman"/>
          <w:color w:val="000000"/>
          <w:sz w:val="24"/>
          <w:szCs w:val="24"/>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